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9374" w14:textId="77777777" w:rsidR="003344A3" w:rsidRPr="009706BC" w:rsidRDefault="003344A3" w:rsidP="00334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Aptos" w:hAnsi="Aptos" w:cs="Aptos"/>
          <w:b/>
          <w:bCs/>
          <w:color w:val="000000"/>
          <w:sz w:val="22"/>
          <w:lang w:bidi="ar-SA"/>
        </w:rPr>
      </w:pPr>
      <w:r w:rsidRPr="009706BC">
        <w:rPr>
          <w:rFonts w:ascii="Aptos" w:hAnsi="Aptos" w:cs="Aptos"/>
          <w:b/>
          <w:bCs/>
          <w:color w:val="000000"/>
          <w:sz w:val="22"/>
          <w:lang w:bidi="ar-SA"/>
        </w:rPr>
        <w:t xml:space="preserve">Návrh zalesnění obecního lesa na p. č. 263/6 </w:t>
      </w:r>
    </w:p>
    <w:p w14:paraId="00968AA2" w14:textId="77777777" w:rsidR="003344A3" w:rsidRPr="009706BC" w:rsidRDefault="003344A3" w:rsidP="00334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Aptos" w:hAnsi="Aptos" w:cs="Aptos"/>
          <w:color w:val="000000"/>
          <w:sz w:val="22"/>
          <w:lang w:bidi="ar-SA"/>
        </w:rPr>
      </w:pPr>
      <w:r w:rsidRPr="009706BC">
        <w:rPr>
          <w:rFonts w:ascii="Aptos" w:hAnsi="Aptos" w:cs="Aptos"/>
          <w:color w:val="000000"/>
          <w:sz w:val="22"/>
          <w:lang w:bidi="ar-SA"/>
        </w:rPr>
        <w:t xml:space="preserve">Na pozemku proběhla těžba, úklid a drcení pařezů, následně byla plocha uvláčena bránami. </w:t>
      </w:r>
    </w:p>
    <w:p w14:paraId="2A5112E3" w14:textId="77777777" w:rsidR="003344A3" w:rsidRPr="009706BC" w:rsidRDefault="003344A3" w:rsidP="00334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Aptos" w:hAnsi="Aptos" w:cs="Aptos"/>
          <w:color w:val="000000"/>
          <w:sz w:val="22"/>
          <w:lang w:bidi="ar-SA"/>
        </w:rPr>
      </w:pPr>
      <w:r w:rsidRPr="009706BC">
        <w:rPr>
          <w:rFonts w:ascii="Aptos" w:hAnsi="Aptos" w:cs="Aptos"/>
          <w:color w:val="000000"/>
          <w:sz w:val="22"/>
          <w:lang w:bidi="ar-SA"/>
        </w:rPr>
        <w:t xml:space="preserve">Parcelní čísla 263/29 a 231/22 nejsou lesními pozemky a není tedy nutné je zalesnit dle zákona, navrhuji ozelenit dle návrhu zahradního architekta. P. č. 263/6 navrhuji zalesnit odrostky BK, DB a KL ve sponu 2,5 x 2,5 m. Na části pozemku se podařilo zachovat nárosty lesních dřevin a na této ploše se vysazovat nebude. </w:t>
      </w:r>
    </w:p>
    <w:p w14:paraId="034E647D" w14:textId="77777777" w:rsidR="003344A3" w:rsidRDefault="003344A3" w:rsidP="00334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Aptos" w:hAnsi="Aptos" w:cs="Aptos"/>
          <w:color w:val="000000"/>
          <w:sz w:val="22"/>
          <w:lang w:bidi="ar-SA"/>
        </w:rPr>
      </w:pPr>
      <w:r w:rsidRPr="009706BC">
        <w:rPr>
          <w:rFonts w:ascii="Aptos" w:hAnsi="Aptos" w:cs="Aptos"/>
          <w:color w:val="000000"/>
          <w:sz w:val="22"/>
          <w:lang w:bidi="ar-SA"/>
        </w:rPr>
        <w:t>Zalesňovaná plocha:</w:t>
      </w:r>
    </w:p>
    <w:p w14:paraId="5DA96C82" w14:textId="77777777" w:rsidR="003344A3" w:rsidRDefault="003344A3"/>
    <w:p w14:paraId="45B30101" w14:textId="77777777" w:rsidR="003344A3" w:rsidRDefault="003344A3"/>
    <w:p w14:paraId="7F246DE4" w14:textId="77777777" w:rsidR="003344A3" w:rsidRDefault="003344A3"/>
    <w:p w14:paraId="088DE2AC" w14:textId="5E0D1402" w:rsidR="003344A3" w:rsidRDefault="003344A3">
      <w:r w:rsidRPr="009706BC">
        <w:rPr>
          <w:noProof/>
          <w:sz w:val="24"/>
          <w:szCs w:val="24"/>
          <w:lang w:eastAsia="cs-CZ" w:bidi="ar-SA"/>
        </w:rPr>
        <w:drawing>
          <wp:inline distT="0" distB="0" distL="0" distR="0" wp14:anchorId="36C57B33" wp14:editId="2362D2AD">
            <wp:extent cx="5760720" cy="3549358"/>
            <wp:effectExtent l="0" t="0" r="0" b="0"/>
            <wp:docPr id="12951516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A3"/>
    <w:rsid w:val="003344A3"/>
    <w:rsid w:val="0035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8CD7"/>
  <w15:chartTrackingRefBased/>
  <w15:docId w15:val="{405C8E65-011A-4AD6-9FF7-8D9CDC8E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4A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44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44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44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4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4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4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4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4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4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4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4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4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4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4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4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4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4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4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3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4A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34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4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344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4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344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4A3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4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4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2026-06-30T08:15:00Z</dcterms:created>
  <dcterms:modified xsi:type="dcterms:W3CDTF">2026-06-30T08:16:00Z</dcterms:modified>
</cp:coreProperties>
</file>